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311ABC0" w:rsidR="005053AB" w:rsidRPr="00862CFC" w:rsidRDefault="001067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5381F6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D0C5A44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ACD-0908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DEF913B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D6DE031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La intención de esta asignatura es que el egresado adopte valores y actitudes humanistas,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que lo lleven a vivir y ejercer profesionalmente de acuerdo con principios orientados hacia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la sustentabilidad, la cual es el factor medular de la dimensión filosófica del SNIT.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pretende, entonces, la formación de ciudadanos con valores de justicia social, equidad,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respeto y cuidado del entorno físico y biológico, capaces de afrontar, desde su ámbito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profesional, las necesidades emergentes del desarrollo y los desafíos que se presentan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los escenarios natural, social-cultural y económico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CEF0F13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Debido a la trascendencia de esta materia en la formación integral del estudiante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necesario que el docente como ejemplo a seguir, participe y conozca actividades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investigación, desarrollo tecnológico, innovación, gestión, y vinculación con los sectores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sociales que pueden ser utilizados como casos de estudio de desarrollo sustentable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localidad o región.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B6CEFA0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Aplica una visión sustentable, en los ámbitos social, económico y ambiental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permitirá evaluar y disminuir el impacto de la sociedad sobre el entorno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8E4EBB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6F57F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8D83B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027159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C33ED1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DCFD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A2A0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9AB1EB" w14:textId="77777777" w:rsidR="00EA40DC" w:rsidRPr="00862CF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4A875B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436C1D8" w:rsidR="005053AB" w:rsidRPr="00862CFC" w:rsidRDefault="0087597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5A630F1" w:rsidR="005053AB" w:rsidRPr="00862CFC" w:rsidRDefault="0087597D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Escenario natural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6A95E33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2.1 El ecosistema</w:t>
            </w:r>
          </w:p>
          <w:p w14:paraId="6A8FA2F1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2.2 Flujo de energía</w:t>
            </w:r>
          </w:p>
          <w:p w14:paraId="236ADE48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 Biósfera</w:t>
            </w:r>
          </w:p>
          <w:p w14:paraId="55DE24C1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2.3.1 Hidrósfera</w:t>
            </w:r>
          </w:p>
          <w:p w14:paraId="4634ED95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2.3.2 Litósfera</w:t>
            </w:r>
          </w:p>
          <w:p w14:paraId="778B556D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2.3.3 Atmósfera</w:t>
            </w:r>
          </w:p>
          <w:p w14:paraId="375930CE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2.3.4 Ciclos biogeoquímicos (C,H,O,N,P)</w:t>
            </w:r>
          </w:p>
          <w:p w14:paraId="73B23290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2.3.5 Biodiversidad</w:t>
            </w:r>
          </w:p>
          <w:p w14:paraId="164AB574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2.4 Estrategias de sustentabilidad para el</w:t>
            </w:r>
          </w:p>
          <w:p w14:paraId="4B1FCF6C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manejo de recursos naturales</w:t>
            </w:r>
          </w:p>
          <w:p w14:paraId="1E65497D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2.4.1Servicios ambientales</w:t>
            </w:r>
          </w:p>
          <w:p w14:paraId="2EC0FF6D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2.4.2Programas sectoriales de medio</w:t>
            </w:r>
          </w:p>
          <w:p w14:paraId="3D13C939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ambiente y recursos naturales: desarrollo</w:t>
            </w:r>
          </w:p>
          <w:p w14:paraId="3B1B5444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social; economía; agricultura, ganadería y</w:t>
            </w:r>
          </w:p>
          <w:p w14:paraId="227C9643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pesca; salud; turismo; trabajo y previsión</w:t>
            </w:r>
          </w:p>
          <w:p w14:paraId="209D4EDA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social, entre otros.</w:t>
            </w:r>
          </w:p>
          <w:p w14:paraId="4DE6B1C0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2.4.3. Derecho, Legislación y normatividad</w:t>
            </w:r>
          </w:p>
          <w:p w14:paraId="263DE134" w14:textId="77777777" w:rsidR="0087597D" w:rsidRPr="0087597D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ambiental para el desarrollo sustentable</w:t>
            </w:r>
          </w:p>
          <w:p w14:paraId="6ED640BE" w14:textId="2EF54230" w:rsidR="005053AB" w:rsidRPr="00862CFC" w:rsidRDefault="0087597D" w:rsidP="008759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597D">
              <w:rPr>
                <w:rFonts w:ascii="Arial" w:hAnsi="Arial" w:cs="Arial"/>
                <w:sz w:val="20"/>
                <w:szCs w:val="20"/>
              </w:rPr>
              <w:t>2.4.4. Ordenamiento ecológico territorial</w:t>
            </w:r>
          </w:p>
        </w:tc>
        <w:tc>
          <w:tcPr>
            <w:tcW w:w="2599" w:type="dxa"/>
          </w:tcPr>
          <w:p w14:paraId="20B34DED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2.1 Identificar los conceptos de ecosistema,</w:t>
            </w:r>
          </w:p>
          <w:p w14:paraId="19C13D77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los elementos que lo integran y</w:t>
            </w:r>
          </w:p>
          <w:p w14:paraId="255FB2D5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reconociendo el papel que tienen; mediante</w:t>
            </w:r>
          </w:p>
          <w:p w14:paraId="635C5C7C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investigación bibliográfica.</w:t>
            </w:r>
          </w:p>
          <w:p w14:paraId="6954E958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2.2 Mediante técnicas grupales, Identifica</w:t>
            </w:r>
          </w:p>
          <w:p w14:paraId="7988CF2C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los principales ciclos biogeoquímicos y su</w:t>
            </w:r>
          </w:p>
          <w:p w14:paraId="1080D501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concatenación con las entradas y salidas de</w:t>
            </w:r>
          </w:p>
          <w:p w14:paraId="39785151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energía en el ecosistema.</w:t>
            </w:r>
          </w:p>
          <w:p w14:paraId="57D474FA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2.3 Seleccionar los conceptos de</w:t>
            </w:r>
          </w:p>
          <w:p w14:paraId="0C9891E3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biodiversidad mediante el análisis</w:t>
            </w:r>
          </w:p>
          <w:p w14:paraId="542156A1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bibliográfico, a través de visita en campo o</w:t>
            </w:r>
          </w:p>
          <w:p w14:paraId="1E053BED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en el jardín del tecnológico, registrando el</w:t>
            </w:r>
          </w:p>
          <w:p w14:paraId="29B3C389" w14:textId="49D8B9FB" w:rsidR="005053AB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número y formas de vida observadas.</w:t>
            </w:r>
          </w:p>
        </w:tc>
        <w:tc>
          <w:tcPr>
            <w:tcW w:w="2599" w:type="dxa"/>
          </w:tcPr>
          <w:p w14:paraId="41E0110F" w14:textId="77777777" w:rsidR="005053AB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155E33BB" w14:textId="77777777" w:rsidR="00EA40D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  <w:p w14:paraId="23B19B6C" w14:textId="59F356E3" w:rsidR="0087597D" w:rsidRPr="00862CFC" w:rsidRDefault="0087597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</w:tc>
        <w:tc>
          <w:tcPr>
            <w:tcW w:w="2599" w:type="dxa"/>
          </w:tcPr>
          <w:p w14:paraId="6100D6BB" w14:textId="0B73D445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Capacidad de investigación.</w:t>
            </w:r>
          </w:p>
          <w:p w14:paraId="783A9F31" w14:textId="0B3B1EA1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Capacidad con la preservación del</w:t>
            </w:r>
          </w:p>
          <w:p w14:paraId="7BFA2424" w14:textId="77777777" w:rsidR="000C31CA" w:rsidRPr="000C31CA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medio ambiente.</w:t>
            </w:r>
          </w:p>
          <w:p w14:paraId="3B81E98E" w14:textId="47A30855" w:rsidR="005053AB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C31CA">
              <w:rPr>
                <w:rFonts w:ascii="Arial" w:hAnsi="Arial" w:cs="Arial"/>
                <w:sz w:val="20"/>
                <w:szCs w:val="20"/>
              </w:rPr>
              <w:t>Compromiso ético.</w:t>
            </w:r>
          </w:p>
        </w:tc>
        <w:tc>
          <w:tcPr>
            <w:tcW w:w="2600" w:type="dxa"/>
          </w:tcPr>
          <w:p w14:paraId="57198BE6" w14:textId="128EAAB8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BFB4A0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1AA09294" w:rsidR="005053AB" w:rsidRPr="00233468" w:rsidRDefault="000C31CA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elementos de los ecosistemas</w:t>
            </w:r>
          </w:p>
        </w:tc>
        <w:tc>
          <w:tcPr>
            <w:tcW w:w="6498" w:type="dxa"/>
          </w:tcPr>
          <w:p w14:paraId="1E770817" w14:textId="311BFCBC" w:rsidR="000300FF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5AC4714" w:rsidR="00DE26A7" w:rsidRPr="00233468" w:rsidRDefault="000C31CA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las estrategias de sustentabilidad</w:t>
            </w:r>
          </w:p>
        </w:tc>
        <w:tc>
          <w:tcPr>
            <w:tcW w:w="6498" w:type="dxa"/>
          </w:tcPr>
          <w:p w14:paraId="76CEE991" w14:textId="19BB840D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097024C" w:rsidR="00DE26A7" w:rsidRPr="00233468" w:rsidRDefault="000C31CA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la sustentabilidad escenario natural</w:t>
            </w:r>
          </w:p>
        </w:tc>
        <w:tc>
          <w:tcPr>
            <w:tcW w:w="6498" w:type="dxa"/>
          </w:tcPr>
          <w:p w14:paraId="60A70194" w14:textId="49C5B2B3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3DE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1B55922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3DE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52969F6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3DE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0D2B878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3DE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FB8C9D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3DEF" w:rsidRPr="00862CFC" w14:paraId="7DB6940C" w14:textId="77777777" w:rsidTr="00206F1D">
        <w:tc>
          <w:tcPr>
            <w:tcW w:w="3249" w:type="dxa"/>
          </w:tcPr>
          <w:p w14:paraId="34D87226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4E45A5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108F35B2" w:rsidR="00055465" w:rsidRPr="00106009" w:rsidRDefault="00AA29F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385D14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EDF37D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A2C087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29C0C4C6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F2F9562" w:rsidR="00055465" w:rsidRPr="00106009" w:rsidRDefault="00AA29F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A29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C8FCA37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Proyecto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A579C1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1CE19DD4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6960D05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F9C112F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ADA170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de investigación relacionada a los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4D8D74" w:rsidR="00055465" w:rsidRDefault="00AA29F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E0CC1D3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14C0759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89428DE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60132C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Registro de entrega en tiempo de avances y entrega final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A74ABD2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8F06DE8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B53639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C200C0C" w14:textId="4748786A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Acuña, A., Aguilera, R., Aguayo, M., &amp; Azúcar, G. (2003). Conceptos básicos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medio ambie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A29F9">
              <w:rPr>
                <w:rFonts w:ascii="Arial" w:hAnsi="Arial" w:cs="Arial"/>
                <w:sz w:val="20"/>
                <w:szCs w:val="20"/>
              </w:rPr>
              <w:t>te y desarrollo sustentable. Fondo de la cooperación técnica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República Federal Alemana.</w:t>
            </w:r>
          </w:p>
          <w:p w14:paraId="747B1F1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Academia Nacional de Educación Ambiental (ANEA)</w:t>
            </w:r>
          </w:p>
          <w:p w14:paraId="3265BE5B" w14:textId="42404F0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http://anea.org.mx/Documentos.htm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44477AA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Agenda 21 - United Nations Division for Sustainable Development</w:t>
            </w:r>
          </w:p>
          <w:p w14:paraId="51AF56A0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http://www.un.org/esa/sustdev/documents/agenda21/index.htm</w:t>
            </w:r>
          </w:p>
          <w:p w14:paraId="4E9B15DC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Alianza Geografica. http://www.alianzageografica.org/leccion.html</w:t>
            </w:r>
          </w:p>
          <w:p w14:paraId="2EA27BA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Azqueta, O. (2002). Introducción a la economía ambiental. Madrid: Mc Graw-Hill.</w:t>
            </w:r>
          </w:p>
          <w:p w14:paraId="6C341989" w14:textId="51CD3F3C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Beltrán-Morales L.F., Urciaga-García J.L. y Ortega-Rubio A. (Eds). (2006).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sustentable ¿mito o realidad? Centro de Investigaciones Biológicas del Noroeste,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S.C. 272.</w:t>
            </w:r>
          </w:p>
          <w:p w14:paraId="1EEB8E80" w14:textId="7265B3DC" w:rsidR="00106009" w:rsidRPr="00862CFC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Brañes R. (2000). Manual de derecho ambiental mexicano. México, Editorial Fondo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Cultura Económica.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5242D7" w14:textId="77777777" w:rsidR="0010600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7FDB0F03" w14:textId="77777777" w:rsidR="00AA29F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0975D7C2" w14:textId="3D778D79" w:rsidR="00AA29F9" w:rsidRPr="00862CFC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pizarron</w:t>
            </w:r>
          </w:p>
        </w:tc>
      </w:tr>
    </w:tbl>
    <w:p w14:paraId="460D3269" w14:textId="11DBEF49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8"/>
        <w:gridCol w:w="758"/>
        <w:gridCol w:w="758"/>
        <w:gridCol w:w="794"/>
        <w:gridCol w:w="794"/>
        <w:gridCol w:w="794"/>
        <w:gridCol w:w="759"/>
        <w:gridCol w:w="759"/>
        <w:gridCol w:w="760"/>
        <w:gridCol w:w="761"/>
        <w:gridCol w:w="761"/>
        <w:gridCol w:w="761"/>
        <w:gridCol w:w="761"/>
        <w:gridCol w:w="761"/>
        <w:gridCol w:w="761"/>
        <w:gridCol w:w="761"/>
      </w:tblGrid>
      <w:tr w:rsidR="00862CFC" w:rsidRPr="00862CFC" w14:paraId="5BE371E2" w14:textId="77777777" w:rsidTr="000C31CA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C31CA" w:rsidRPr="00862CFC" w14:paraId="23032042" w14:textId="77777777" w:rsidTr="000C31CA">
        <w:tc>
          <w:tcPr>
            <w:tcW w:w="961" w:type="dxa"/>
          </w:tcPr>
          <w:p w14:paraId="61B1CD54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4" w:colLast="6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4B66F330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46BFE953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60C027B3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082C60EB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7B553D20" w14:textId="298EC7B4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01272DF" w14:textId="658FFDEF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F5F75AC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0C31CA" w:rsidRPr="00862CFC" w:rsidRDefault="000C31CA" w:rsidP="000C31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0C31CA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0C31CA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83B24" w14:textId="77777777" w:rsidR="00E9302D" w:rsidRDefault="00E9302D" w:rsidP="00862CFC">
      <w:pPr>
        <w:spacing w:after="0" w:line="240" w:lineRule="auto"/>
      </w:pPr>
      <w:r>
        <w:separator/>
      </w:r>
    </w:p>
  </w:endnote>
  <w:endnote w:type="continuationSeparator" w:id="0">
    <w:p w14:paraId="7DEA7B46" w14:textId="77777777" w:rsidR="00E9302D" w:rsidRDefault="00E9302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2BB63" w14:textId="77777777" w:rsidR="00E9302D" w:rsidRDefault="00E9302D" w:rsidP="00862CFC">
      <w:pPr>
        <w:spacing w:after="0" w:line="240" w:lineRule="auto"/>
      </w:pPr>
      <w:r>
        <w:separator/>
      </w:r>
    </w:p>
  </w:footnote>
  <w:footnote w:type="continuationSeparator" w:id="0">
    <w:p w14:paraId="142BDE96" w14:textId="77777777" w:rsidR="00E9302D" w:rsidRDefault="00E9302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E9302D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396794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C31CA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C31CA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7D1D"/>
    <w:multiLevelType w:val="hybridMultilevel"/>
    <w:tmpl w:val="35E2A2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31CA"/>
    <w:rsid w:val="001024C5"/>
    <w:rsid w:val="00106009"/>
    <w:rsid w:val="001067AA"/>
    <w:rsid w:val="00160D9F"/>
    <w:rsid w:val="001D7549"/>
    <w:rsid w:val="00206F1D"/>
    <w:rsid w:val="00233468"/>
    <w:rsid w:val="00293FBE"/>
    <w:rsid w:val="00373659"/>
    <w:rsid w:val="00493A2D"/>
    <w:rsid w:val="004F065B"/>
    <w:rsid w:val="005053AB"/>
    <w:rsid w:val="00536B92"/>
    <w:rsid w:val="005624BE"/>
    <w:rsid w:val="0057748F"/>
    <w:rsid w:val="00593663"/>
    <w:rsid w:val="00643DEF"/>
    <w:rsid w:val="00744965"/>
    <w:rsid w:val="007A22EC"/>
    <w:rsid w:val="00824F18"/>
    <w:rsid w:val="00862CFC"/>
    <w:rsid w:val="00865C4A"/>
    <w:rsid w:val="0087597D"/>
    <w:rsid w:val="008C7776"/>
    <w:rsid w:val="009905D5"/>
    <w:rsid w:val="00992C3B"/>
    <w:rsid w:val="00A37058"/>
    <w:rsid w:val="00A676AA"/>
    <w:rsid w:val="00AA29F9"/>
    <w:rsid w:val="00AD3509"/>
    <w:rsid w:val="00AE14E7"/>
    <w:rsid w:val="00B23CAE"/>
    <w:rsid w:val="00B31A95"/>
    <w:rsid w:val="00BA5082"/>
    <w:rsid w:val="00BE7924"/>
    <w:rsid w:val="00C127DC"/>
    <w:rsid w:val="00C2069A"/>
    <w:rsid w:val="00DC46A5"/>
    <w:rsid w:val="00DD7D08"/>
    <w:rsid w:val="00DE26A7"/>
    <w:rsid w:val="00E9302D"/>
    <w:rsid w:val="00EA40DC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2880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2017-09-08T22:26:00Z</dcterms:created>
  <dcterms:modified xsi:type="dcterms:W3CDTF">2017-09-08T22:26:00Z</dcterms:modified>
</cp:coreProperties>
</file>